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134D7131">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134D7131">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37B44A27" w:rsidR="5D144638" w:rsidRDefault="00A643AB" w:rsidP="4F61CA30">
            <w:pPr>
              <w:rPr>
                <w:color w:val="000000" w:themeColor="text1"/>
                <w:sz w:val="24"/>
                <w:szCs w:val="24"/>
              </w:rPr>
            </w:pPr>
            <w:r>
              <w:rPr>
                <w:color w:val="000000" w:themeColor="text1"/>
                <w:sz w:val="24"/>
                <w:szCs w:val="24"/>
              </w:rPr>
              <w:t>Cirkulært byggeri</w:t>
            </w:r>
          </w:p>
        </w:tc>
      </w:tr>
      <w:tr w:rsidR="00C8017B" w:rsidRPr="00C8017B" w14:paraId="256CF6AC" w14:textId="77777777" w:rsidTr="134D7131">
        <w:trPr>
          <w:trHeight w:val="855"/>
        </w:trPr>
        <w:tc>
          <w:tcPr>
            <w:tcW w:w="5282" w:type="dxa"/>
          </w:tcPr>
          <w:p w14:paraId="1EE6A284"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41523006" w14:textId="7526C1B0" w:rsidR="00EE73D2" w:rsidRDefault="00A643AB" w:rsidP="0007641C">
            <w:pPr>
              <w:pStyle w:val="Listeafsnit"/>
              <w:numPr>
                <w:ilvl w:val="0"/>
                <w:numId w:val="1"/>
              </w:numPr>
              <w:spacing w:line="276" w:lineRule="auto"/>
              <w:rPr>
                <w:color w:val="000000" w:themeColor="text1"/>
                <w:sz w:val="24"/>
                <w:szCs w:val="24"/>
              </w:rPr>
            </w:pPr>
            <w:r>
              <w:rPr>
                <w:color w:val="000000" w:themeColor="text1"/>
                <w:sz w:val="24"/>
                <w:szCs w:val="24"/>
              </w:rPr>
              <w:t>Cirkulært byggeri</w:t>
            </w:r>
          </w:p>
          <w:p w14:paraId="2CF96B44" w14:textId="4717C304" w:rsidR="00C804BB" w:rsidRPr="00EE73D2" w:rsidRDefault="00C804BB" w:rsidP="00A643AB">
            <w:pPr>
              <w:pStyle w:val="Listeafsnit"/>
              <w:spacing w:line="276" w:lineRule="auto"/>
              <w:rPr>
                <w:color w:val="000000" w:themeColor="text1"/>
                <w:sz w:val="24"/>
                <w:szCs w:val="24"/>
              </w:rPr>
            </w:pPr>
          </w:p>
        </w:tc>
        <w:tc>
          <w:tcPr>
            <w:tcW w:w="4465" w:type="dxa"/>
          </w:tcPr>
          <w:p w14:paraId="2CD36745"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53C1BBC6" w:rsidR="00E17E61" w:rsidRPr="00C8017B" w:rsidRDefault="00C804BB" w:rsidP="007F5DF9">
            <w:pPr>
              <w:rPr>
                <w:color w:val="000000" w:themeColor="text1"/>
                <w:sz w:val="24"/>
                <w:szCs w:val="24"/>
              </w:rPr>
            </w:pPr>
            <w:r>
              <w:rPr>
                <w:color w:val="000000" w:themeColor="text1"/>
                <w:sz w:val="24"/>
                <w:szCs w:val="24"/>
              </w:rPr>
              <w:t>25</w:t>
            </w:r>
            <w:r w:rsidR="00C51480">
              <w:rPr>
                <w:color w:val="000000" w:themeColor="text1"/>
                <w:sz w:val="24"/>
                <w:szCs w:val="24"/>
              </w:rPr>
              <w:t xml:space="preserve"> </w:t>
            </w:r>
            <w:r w:rsidR="00E17E61">
              <w:rPr>
                <w:color w:val="000000" w:themeColor="text1"/>
                <w:sz w:val="24"/>
                <w:szCs w:val="24"/>
              </w:rPr>
              <w:t>min</w:t>
            </w:r>
            <w:r w:rsidR="00441D8D">
              <w:rPr>
                <w:color w:val="000000" w:themeColor="text1"/>
                <w:sz w:val="24"/>
                <w:szCs w:val="24"/>
              </w:rPr>
              <w:t>.</w:t>
            </w:r>
          </w:p>
        </w:tc>
      </w:tr>
      <w:tr w:rsidR="00C8017B" w:rsidRPr="00C8017B" w14:paraId="54E69D43" w14:textId="77777777" w:rsidTr="134D7131">
        <w:tc>
          <w:tcPr>
            <w:tcW w:w="9747" w:type="dxa"/>
            <w:gridSpan w:val="2"/>
          </w:tcPr>
          <w:p w14:paraId="2ECE9090" w14:textId="682CFFB8" w:rsidR="0067400D"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502EF815" w14:textId="6C495BD0" w:rsidR="003E3240" w:rsidRDefault="00EE73D2" w:rsidP="00EE73D2">
            <w:pPr>
              <w:spacing w:after="200" w:line="276" w:lineRule="auto"/>
              <w:rPr>
                <w:sz w:val="24"/>
                <w:szCs w:val="24"/>
              </w:rPr>
            </w:pPr>
            <w:r>
              <w:rPr>
                <w:sz w:val="24"/>
                <w:szCs w:val="24"/>
              </w:rPr>
              <w:t xml:space="preserve">I materialet er der lavet en video, der præsenterer </w:t>
            </w:r>
            <w:r w:rsidR="003E3240">
              <w:rPr>
                <w:sz w:val="24"/>
                <w:szCs w:val="24"/>
              </w:rPr>
              <w:t>Lærlingen for</w:t>
            </w:r>
            <w:r w:rsidR="00FA1143">
              <w:rPr>
                <w:sz w:val="24"/>
                <w:szCs w:val="24"/>
              </w:rPr>
              <w:t xml:space="preserve"> </w:t>
            </w:r>
            <w:r w:rsidR="008752E5">
              <w:rPr>
                <w:sz w:val="24"/>
                <w:szCs w:val="24"/>
              </w:rPr>
              <w:t>cirkulært byggeri, nedrivning og genbrug</w:t>
            </w:r>
            <w:r w:rsidR="00A40BA6">
              <w:rPr>
                <w:sz w:val="24"/>
                <w:szCs w:val="24"/>
              </w:rPr>
              <w:t>.</w:t>
            </w:r>
          </w:p>
          <w:p w14:paraId="17BF001D" w14:textId="16A0DEE3" w:rsidR="00FA1143" w:rsidRPr="00EE53B2" w:rsidRDefault="00FA1143" w:rsidP="00FA1143">
            <w:pPr>
              <w:rPr>
                <w:rFonts w:cstheme="minorHAnsi"/>
                <w:sz w:val="24"/>
                <w:szCs w:val="24"/>
              </w:rPr>
            </w:pPr>
            <w:r w:rsidRPr="00EE53B2">
              <w:rPr>
                <w:rFonts w:cstheme="minorHAnsi"/>
                <w:sz w:val="24"/>
                <w:szCs w:val="24"/>
              </w:rPr>
              <w:t xml:space="preserve">Videoen har til formål at give eleven forståelse for begrebet </w:t>
            </w:r>
            <w:r w:rsidR="008752E5">
              <w:rPr>
                <w:rFonts w:cstheme="minorHAnsi"/>
                <w:sz w:val="24"/>
                <w:szCs w:val="24"/>
              </w:rPr>
              <w:t>cirkulært byggeri</w:t>
            </w:r>
            <w:r w:rsidRPr="00EE53B2">
              <w:rPr>
                <w:rFonts w:cstheme="minorHAnsi"/>
                <w:sz w:val="24"/>
                <w:szCs w:val="24"/>
              </w:rPr>
              <w:t>, og hvad det indebærer byggefagligt.</w:t>
            </w:r>
          </w:p>
          <w:p w14:paraId="2457113D" w14:textId="77777777" w:rsidR="003E3240" w:rsidRDefault="003E3240" w:rsidP="003E3240">
            <w:pPr>
              <w:rPr>
                <w:sz w:val="24"/>
                <w:szCs w:val="24"/>
              </w:rPr>
            </w:pPr>
          </w:p>
          <w:p w14:paraId="3D0A0FAD" w14:textId="044F0EB0" w:rsidR="00EE73D2" w:rsidRDefault="00EE73D2" w:rsidP="00EE73D2">
            <w:pPr>
              <w:spacing w:after="200" w:line="276" w:lineRule="auto"/>
              <w:rPr>
                <w:sz w:val="24"/>
                <w:szCs w:val="24"/>
              </w:rPr>
            </w:pPr>
            <w:r>
              <w:rPr>
                <w:sz w:val="24"/>
                <w:szCs w:val="24"/>
              </w:rPr>
              <w:t xml:space="preserve">Til videoen er der lavet et opgaveark med spørgsmål, som </w:t>
            </w:r>
            <w:r w:rsidRPr="464A5549">
              <w:rPr>
                <w:sz w:val="24"/>
                <w:szCs w:val="24"/>
              </w:rPr>
              <w:t>sikrer</w:t>
            </w:r>
            <w:r>
              <w:rPr>
                <w:sz w:val="24"/>
                <w:szCs w:val="24"/>
              </w:rPr>
              <w:t xml:space="preserve">, at lærlingen </w:t>
            </w:r>
            <w:r w:rsidRPr="464A5549">
              <w:rPr>
                <w:sz w:val="24"/>
                <w:szCs w:val="24"/>
              </w:rPr>
              <w:t>arbejder</w:t>
            </w:r>
            <w:r>
              <w:rPr>
                <w:sz w:val="24"/>
                <w:szCs w:val="24"/>
              </w:rPr>
              <w:t xml:space="preserve"> med relevante emner, der gør det muligt at opnå læringsmålene til materialet.</w:t>
            </w:r>
          </w:p>
          <w:p w14:paraId="46082515" w14:textId="77777777" w:rsidR="00EE73D2" w:rsidRDefault="00EE73D2" w:rsidP="00EE73D2">
            <w:pPr>
              <w:rPr>
                <w:sz w:val="24"/>
                <w:szCs w:val="24"/>
              </w:rPr>
            </w:pPr>
            <w:r>
              <w:rPr>
                <w:sz w:val="24"/>
                <w:szCs w:val="24"/>
              </w:rPr>
              <w:t>Afslutningsvis laves der vidensdeling i klassen, hvor lærlingen har lejlighed til at dele sine svar på spørgsmålene i opgavearket og reflektere over indholdet i videoen.</w:t>
            </w:r>
          </w:p>
          <w:p w14:paraId="5093E5E0" w14:textId="3073A219" w:rsidR="00903704" w:rsidRPr="00903704" w:rsidRDefault="00903704" w:rsidP="004F3224">
            <w:pPr>
              <w:rPr>
                <w:sz w:val="24"/>
                <w:szCs w:val="24"/>
              </w:rPr>
            </w:pPr>
          </w:p>
        </w:tc>
      </w:tr>
      <w:tr w:rsidR="3F86ECC0" w14:paraId="6E8A24C0" w14:textId="77777777" w:rsidTr="134D7131">
        <w:trPr>
          <w:trHeight w:val="300"/>
        </w:trPr>
        <w:tc>
          <w:tcPr>
            <w:tcW w:w="9747" w:type="dxa"/>
            <w:gridSpan w:val="2"/>
          </w:tcPr>
          <w:p w14:paraId="09B8D2EF" w14:textId="411034BC"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38FE4BB9" w14:textId="77777777" w:rsidR="00DB55C3" w:rsidRPr="00AF7DF5" w:rsidRDefault="00DB55C3" w:rsidP="00DB55C3">
            <w:pPr>
              <w:rPr>
                <w:sz w:val="24"/>
                <w:szCs w:val="24"/>
              </w:rPr>
            </w:pPr>
            <w:r w:rsidRPr="00AF7DF5">
              <w:rPr>
                <w:sz w:val="24"/>
                <w:szCs w:val="24"/>
              </w:rPr>
              <w:t>Lære</w:t>
            </w:r>
            <w:r>
              <w:rPr>
                <w:sz w:val="24"/>
                <w:szCs w:val="24"/>
              </w:rPr>
              <w:t>re</w:t>
            </w:r>
            <w:r w:rsidRPr="00AF7DF5">
              <w:rPr>
                <w:sz w:val="24"/>
                <w:szCs w:val="24"/>
              </w:rPr>
              <w:t xml:space="preserve">n skal:  </w:t>
            </w:r>
          </w:p>
          <w:p w14:paraId="0EABC204" w14:textId="77777777" w:rsidR="00DB55C3" w:rsidRPr="00AF7DF5" w:rsidRDefault="00DB55C3" w:rsidP="00DB55C3">
            <w:pPr>
              <w:rPr>
                <w:sz w:val="24"/>
                <w:szCs w:val="24"/>
              </w:rPr>
            </w:pPr>
          </w:p>
          <w:p w14:paraId="6E3EC3B4" w14:textId="77777777" w:rsidR="00DB55C3" w:rsidRDefault="00DB55C3" w:rsidP="0007641C">
            <w:pPr>
              <w:pStyle w:val="Listeafsnit"/>
              <w:numPr>
                <w:ilvl w:val="0"/>
                <w:numId w:val="2"/>
              </w:numPr>
              <w:spacing w:after="200" w:line="276" w:lineRule="auto"/>
              <w:rPr>
                <w:sz w:val="24"/>
                <w:szCs w:val="24"/>
              </w:rPr>
            </w:pPr>
            <w:r>
              <w:rPr>
                <w:sz w:val="24"/>
                <w:szCs w:val="24"/>
              </w:rPr>
              <w:t>Introducere materialet/forløbet</w:t>
            </w:r>
          </w:p>
          <w:p w14:paraId="78E6CFB1" w14:textId="1A8D8EFD" w:rsidR="00DB55C3" w:rsidRDefault="00DB55C3" w:rsidP="0007641C">
            <w:pPr>
              <w:pStyle w:val="Listeafsnit"/>
              <w:numPr>
                <w:ilvl w:val="0"/>
                <w:numId w:val="2"/>
              </w:numPr>
              <w:spacing w:after="200" w:line="276" w:lineRule="auto"/>
              <w:rPr>
                <w:sz w:val="24"/>
                <w:szCs w:val="24"/>
              </w:rPr>
            </w:pPr>
            <w:r w:rsidRPr="00AF7DF5">
              <w:rPr>
                <w:sz w:val="24"/>
                <w:szCs w:val="24"/>
              </w:rPr>
              <w:t>Sætte lærlingen i gang med at se video</w:t>
            </w:r>
            <w:r w:rsidR="00CD411D">
              <w:rPr>
                <w:sz w:val="24"/>
                <w:szCs w:val="24"/>
              </w:rPr>
              <w:t>en</w:t>
            </w:r>
          </w:p>
          <w:p w14:paraId="49BAAA84" w14:textId="3E378064" w:rsidR="00DB55C3" w:rsidRPr="00DB55C3" w:rsidRDefault="00DB55C3" w:rsidP="0007641C">
            <w:pPr>
              <w:pStyle w:val="Listeafsnit"/>
              <w:numPr>
                <w:ilvl w:val="0"/>
                <w:numId w:val="2"/>
              </w:numPr>
              <w:spacing w:after="200" w:line="276" w:lineRule="auto"/>
              <w:rPr>
                <w:bCs/>
                <w:sz w:val="24"/>
                <w:szCs w:val="24"/>
              </w:rPr>
            </w:pPr>
            <w:r w:rsidRPr="00DB55C3">
              <w:rPr>
                <w:bCs/>
                <w:sz w:val="24"/>
                <w:szCs w:val="24"/>
              </w:rPr>
              <w:t xml:space="preserve">Bistå lærlingen med konsulent-hjælp til at svare på opgavearket. </w:t>
            </w:r>
          </w:p>
          <w:p w14:paraId="192C757A" w14:textId="77777777" w:rsidR="00DB55C3" w:rsidRDefault="00DB55C3" w:rsidP="0007641C">
            <w:pPr>
              <w:pStyle w:val="Listeafsnit"/>
              <w:numPr>
                <w:ilvl w:val="0"/>
                <w:numId w:val="2"/>
              </w:numPr>
              <w:spacing w:after="200" w:line="276" w:lineRule="auto"/>
              <w:rPr>
                <w:sz w:val="24"/>
                <w:szCs w:val="24"/>
              </w:rPr>
            </w:pPr>
            <w:r w:rsidRPr="00AF7DF5">
              <w:rPr>
                <w:sz w:val="24"/>
                <w:szCs w:val="24"/>
              </w:rPr>
              <w:t xml:space="preserve">Styre vidensdelingen og give alle deltagere mulighed for at bidrage med </w:t>
            </w:r>
            <w:r>
              <w:rPr>
                <w:sz w:val="24"/>
                <w:szCs w:val="24"/>
              </w:rPr>
              <w:t>deres</w:t>
            </w:r>
            <w:r w:rsidRPr="00AF7DF5">
              <w:rPr>
                <w:sz w:val="24"/>
                <w:szCs w:val="24"/>
              </w:rPr>
              <w:t xml:space="preserve"> svar på opgaverne</w:t>
            </w:r>
            <w:r>
              <w:rPr>
                <w:sz w:val="24"/>
                <w:szCs w:val="24"/>
              </w:rPr>
              <w:t xml:space="preserve"> og byde ind med spørgsmål, uddybninger og kommentarer</w:t>
            </w:r>
            <w:r w:rsidRPr="00AF7DF5">
              <w:rPr>
                <w:sz w:val="24"/>
                <w:szCs w:val="24"/>
              </w:rPr>
              <w:t xml:space="preserve">.   </w:t>
            </w:r>
          </w:p>
          <w:p w14:paraId="59A395E5" w14:textId="77777777" w:rsidR="00DB55C3" w:rsidRPr="00BE2237" w:rsidRDefault="00DB55C3" w:rsidP="0007641C">
            <w:pPr>
              <w:pStyle w:val="Listeafsnit"/>
              <w:numPr>
                <w:ilvl w:val="0"/>
                <w:numId w:val="2"/>
              </w:numPr>
              <w:rPr>
                <w:sz w:val="24"/>
                <w:szCs w:val="24"/>
              </w:rPr>
            </w:pPr>
            <w:r w:rsidRPr="00AF7DF5">
              <w:rPr>
                <w:sz w:val="24"/>
                <w:szCs w:val="24"/>
              </w:rPr>
              <w:t xml:space="preserve">Hjælpe med at præcisere deltagerens svar og skriver dem </w:t>
            </w:r>
            <w:r>
              <w:rPr>
                <w:sz w:val="24"/>
                <w:szCs w:val="24"/>
              </w:rPr>
              <w:t>op</w:t>
            </w:r>
            <w:r w:rsidRPr="00AF7DF5">
              <w:rPr>
                <w:sz w:val="24"/>
                <w:szCs w:val="24"/>
              </w:rPr>
              <w:t xml:space="preserve"> som fælles klasse-note</w:t>
            </w:r>
            <w:r w:rsidRPr="00BE2237">
              <w:rPr>
                <w:sz w:val="24"/>
                <w:szCs w:val="24"/>
              </w:rPr>
              <w:t> </w:t>
            </w:r>
          </w:p>
          <w:p w14:paraId="73BA6474" w14:textId="77777777" w:rsidR="00DB55C3" w:rsidRDefault="00DB55C3" w:rsidP="00DB55C3">
            <w:pPr>
              <w:rPr>
                <w:color w:val="000000" w:themeColor="text1"/>
                <w:sz w:val="24"/>
                <w:szCs w:val="24"/>
              </w:rPr>
            </w:pPr>
          </w:p>
          <w:p w14:paraId="50ACB66B" w14:textId="679D7CB9" w:rsidR="00DB55C3" w:rsidRDefault="00DB55C3" w:rsidP="00DB5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w:t>
            </w:r>
            <w:r w:rsidR="003905E9">
              <w:rPr>
                <w:rStyle w:val="normaltextrun"/>
                <w:rFonts w:ascii="Calibri" w:hAnsi="Calibri" w:cs="Calibri"/>
              </w:rPr>
              <w:t>:</w:t>
            </w:r>
            <w:r>
              <w:rPr>
                <w:rStyle w:val="normaltextrun"/>
                <w:rFonts w:ascii="Calibri" w:hAnsi="Calibri" w:cs="Calibri"/>
              </w:rPr>
              <w:t xml:space="preserve">  </w:t>
            </w:r>
            <w:r>
              <w:rPr>
                <w:rStyle w:val="eop"/>
                <w:rFonts w:ascii="Calibri" w:hAnsi="Calibri" w:cs="Calibri"/>
              </w:rPr>
              <w:t> </w:t>
            </w:r>
          </w:p>
          <w:p w14:paraId="0CDEFF84" w14:textId="77777777" w:rsidR="00DB55C3" w:rsidRPr="004B712E" w:rsidRDefault="00DB55C3" w:rsidP="0007641C">
            <w:pPr>
              <w:pStyle w:val="paragraph"/>
              <w:numPr>
                <w:ilvl w:val="0"/>
                <w:numId w:val="4"/>
              </w:numPr>
              <w:spacing w:before="0" w:beforeAutospacing="0" w:after="0" w:afterAutospacing="0"/>
              <w:textAlignment w:val="baseline"/>
              <w:rPr>
                <w:rStyle w:val="eop"/>
                <w:rFonts w:ascii="Calibri" w:hAnsi="Calibri" w:cs="Calibri"/>
              </w:rPr>
            </w:pPr>
            <w:r w:rsidRPr="004B712E">
              <w:rPr>
                <w:rStyle w:val="normaltextrun"/>
                <w:rFonts w:ascii="Calibri" w:hAnsi="Calibri" w:cs="Calibri"/>
              </w:rPr>
              <w:t>Kunne se og høre videoen</w:t>
            </w:r>
            <w:r w:rsidRPr="004B712E">
              <w:rPr>
                <w:rStyle w:val="eop"/>
                <w:rFonts w:ascii="Calibri" w:hAnsi="Calibri" w:cs="Calibri"/>
              </w:rPr>
              <w:t> </w:t>
            </w:r>
          </w:p>
          <w:p w14:paraId="45D5DB86" w14:textId="1C3FD854" w:rsidR="00DB55C3" w:rsidRDefault="00DB55C3" w:rsidP="0007641C">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Kunne forklare (viden</w:t>
            </w:r>
            <w:r w:rsidR="003905E9">
              <w:rPr>
                <w:rStyle w:val="normaltextrun"/>
                <w:rFonts w:ascii="Calibri" w:hAnsi="Calibri" w:cs="Calibri"/>
              </w:rPr>
              <w:t>s</w:t>
            </w:r>
            <w:r>
              <w:rPr>
                <w:rStyle w:val="normaltextrun"/>
                <w:rFonts w:ascii="Calibri" w:hAnsi="Calibri" w:cs="Calibri"/>
              </w:rPr>
              <w:t xml:space="preserve">dele) sine svar på spørgsmålene i opgaven </w:t>
            </w:r>
            <w:r>
              <w:rPr>
                <w:rStyle w:val="eop"/>
                <w:rFonts w:ascii="Calibri" w:hAnsi="Calibri" w:cs="Calibri"/>
              </w:rPr>
              <w:t> </w:t>
            </w:r>
          </w:p>
          <w:p w14:paraId="38536BE9" w14:textId="77777777" w:rsidR="00DB55C3" w:rsidRDefault="00DB55C3" w:rsidP="0007641C">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Være i stand til at lytte til andre deltageres svar </w:t>
            </w:r>
            <w:r>
              <w:rPr>
                <w:rStyle w:val="eop"/>
                <w:rFonts w:ascii="Calibri" w:hAnsi="Calibri" w:cs="Calibri"/>
              </w:rPr>
              <w:t> </w:t>
            </w:r>
          </w:p>
          <w:p w14:paraId="735FA761" w14:textId="77777777" w:rsidR="00DB55C3" w:rsidRDefault="00DB55C3" w:rsidP="0007641C">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Være i stand til at tegne/skriver noter, som gør vedkommende i stand til at huske sin viden og holdninger. </w:t>
            </w:r>
            <w:r>
              <w:rPr>
                <w:rStyle w:val="eop"/>
                <w:rFonts w:ascii="Calibri" w:hAnsi="Calibri" w:cs="Calibri"/>
              </w:rPr>
              <w:t> </w:t>
            </w:r>
          </w:p>
          <w:p w14:paraId="37A516FF" w14:textId="77777777" w:rsidR="00DB55C3" w:rsidRDefault="00DB55C3" w:rsidP="00DB55C3">
            <w:pPr>
              <w:rPr>
                <w:color w:val="000000" w:themeColor="text1"/>
                <w:sz w:val="24"/>
                <w:szCs w:val="24"/>
              </w:rPr>
            </w:pPr>
          </w:p>
          <w:p w14:paraId="536FF7B2" w14:textId="77777777" w:rsidR="00DB55C3" w:rsidRPr="00D776AE" w:rsidRDefault="00DB55C3" w:rsidP="00DB55C3">
            <w:pPr>
              <w:rPr>
                <w:sz w:val="24"/>
                <w:szCs w:val="24"/>
              </w:rPr>
            </w:pPr>
            <w:r w:rsidRPr="00095C0A">
              <w:rPr>
                <w:sz w:val="24"/>
                <w:szCs w:val="24"/>
              </w:rPr>
              <w:t>Organisering:</w:t>
            </w:r>
          </w:p>
          <w:p w14:paraId="654D091E" w14:textId="702EB958" w:rsidR="004B7CD4" w:rsidRPr="003905E9" w:rsidRDefault="00DB55C3" w:rsidP="00DB55C3">
            <w:pPr>
              <w:rPr>
                <w:b/>
                <w:bCs/>
                <w:sz w:val="24"/>
                <w:szCs w:val="24"/>
              </w:rPr>
            </w:pPr>
            <w:r w:rsidRPr="6B593F86">
              <w:rPr>
                <w:sz w:val="24"/>
                <w:szCs w:val="24"/>
              </w:rPr>
              <w:t>Deltagerne kan deltage i undervisningen solo eller i mindre grupper.</w:t>
            </w:r>
          </w:p>
          <w:p w14:paraId="25F83E7A" w14:textId="336D1AE8" w:rsidR="001A41A0" w:rsidRPr="00012F93" w:rsidRDefault="001A41A0" w:rsidP="00012F93">
            <w:pPr>
              <w:rPr>
                <w:sz w:val="24"/>
                <w:szCs w:val="24"/>
              </w:rPr>
            </w:pPr>
          </w:p>
        </w:tc>
      </w:tr>
      <w:tr w:rsidR="00C8017B" w:rsidRPr="00C8017B" w14:paraId="237B54C8" w14:textId="77777777" w:rsidTr="134D7131">
        <w:tc>
          <w:tcPr>
            <w:tcW w:w="9747" w:type="dxa"/>
            <w:gridSpan w:val="2"/>
          </w:tcPr>
          <w:p w14:paraId="04099305" w14:textId="35CBA8F7" w:rsidR="00372D73" w:rsidRPr="001A41A0" w:rsidRDefault="00D461F7" w:rsidP="001F357B">
            <w:pPr>
              <w:rPr>
                <w:b/>
                <w:color w:val="000000" w:themeColor="text1"/>
                <w:sz w:val="24"/>
                <w:szCs w:val="24"/>
              </w:rPr>
            </w:pPr>
            <w:r w:rsidRPr="00C8017B">
              <w:rPr>
                <w:b/>
                <w:color w:val="000000" w:themeColor="text1"/>
                <w:sz w:val="24"/>
                <w:szCs w:val="24"/>
              </w:rPr>
              <w:t>L</w:t>
            </w:r>
            <w:r w:rsidR="003813BF" w:rsidRPr="00C8017B">
              <w:rPr>
                <w:b/>
                <w:color w:val="000000" w:themeColor="text1"/>
                <w:sz w:val="24"/>
                <w:szCs w:val="24"/>
              </w:rPr>
              <w:t>æringsmål</w:t>
            </w:r>
            <w:r w:rsidR="007F5DF9" w:rsidRPr="00C8017B">
              <w:rPr>
                <w:b/>
                <w:color w:val="000000" w:themeColor="text1"/>
                <w:sz w:val="24"/>
                <w:szCs w:val="24"/>
              </w:rPr>
              <w:t>:</w:t>
            </w:r>
          </w:p>
          <w:p w14:paraId="71107DD8" w14:textId="77777777" w:rsidR="00CD411D" w:rsidRPr="005E3B47" w:rsidRDefault="00CD411D" w:rsidP="00CD411D">
            <w:pPr>
              <w:rPr>
                <w:rFonts w:cstheme="minorHAnsi"/>
                <w:bCs/>
                <w:sz w:val="24"/>
                <w:szCs w:val="24"/>
              </w:rPr>
            </w:pPr>
            <w:r w:rsidRPr="005E3B47">
              <w:rPr>
                <w:rFonts w:cstheme="minorHAnsi"/>
                <w:bCs/>
                <w:sz w:val="24"/>
                <w:szCs w:val="24"/>
              </w:rPr>
              <w:t>Generelt</w:t>
            </w:r>
          </w:p>
          <w:p w14:paraId="20B8C653" w14:textId="77777777" w:rsidR="00CD411D" w:rsidRPr="005E3B47" w:rsidRDefault="00CD411D" w:rsidP="0007641C">
            <w:pPr>
              <w:pStyle w:val="Listeafsnit"/>
              <w:numPr>
                <w:ilvl w:val="0"/>
                <w:numId w:val="3"/>
              </w:numPr>
              <w:rPr>
                <w:rFonts w:cstheme="minorHAnsi"/>
                <w:bCs/>
                <w:sz w:val="24"/>
                <w:szCs w:val="24"/>
              </w:rPr>
            </w:pPr>
            <w:r w:rsidRPr="005E3B47">
              <w:rPr>
                <w:rFonts w:cstheme="minorHAnsi"/>
                <w:bCs/>
                <w:sz w:val="24"/>
                <w:szCs w:val="24"/>
              </w:rPr>
              <w:t>Lærlingen har kendskab til de forskellige begreber i cirkulært byggeri</w:t>
            </w:r>
          </w:p>
          <w:p w14:paraId="6B9D258F" w14:textId="77777777" w:rsidR="00CD411D" w:rsidRPr="005E3B47" w:rsidRDefault="00CD411D" w:rsidP="0007641C">
            <w:pPr>
              <w:pStyle w:val="Listeafsnit"/>
              <w:numPr>
                <w:ilvl w:val="0"/>
                <w:numId w:val="3"/>
              </w:numPr>
              <w:rPr>
                <w:rFonts w:cstheme="minorHAnsi"/>
                <w:bCs/>
                <w:sz w:val="24"/>
                <w:szCs w:val="24"/>
              </w:rPr>
            </w:pPr>
            <w:r w:rsidRPr="005E3B47">
              <w:rPr>
                <w:rFonts w:cstheme="minorHAnsi"/>
                <w:bCs/>
                <w:sz w:val="24"/>
                <w:szCs w:val="24"/>
              </w:rPr>
              <w:t xml:space="preserve">Lærlingen kan vurdere til forskellen på Genanvendelse og Genbrug </w:t>
            </w:r>
          </w:p>
          <w:p w14:paraId="06B6BCC3" w14:textId="77777777" w:rsidR="00CD411D" w:rsidRPr="005E3B47" w:rsidRDefault="00CD411D" w:rsidP="0007641C">
            <w:pPr>
              <w:pStyle w:val="Listeafsnit"/>
              <w:numPr>
                <w:ilvl w:val="0"/>
                <w:numId w:val="3"/>
              </w:numPr>
              <w:rPr>
                <w:rFonts w:cstheme="minorHAnsi"/>
                <w:bCs/>
                <w:sz w:val="24"/>
                <w:szCs w:val="24"/>
              </w:rPr>
            </w:pPr>
            <w:r w:rsidRPr="005E3B47">
              <w:rPr>
                <w:rFonts w:cstheme="minorHAnsi"/>
                <w:bCs/>
                <w:sz w:val="24"/>
                <w:szCs w:val="24"/>
              </w:rPr>
              <w:t>Lærlingen kan beskrive fordelen ved at genbruge direkte ift. at genanvende.</w:t>
            </w:r>
          </w:p>
          <w:p w14:paraId="2702B1AF" w14:textId="77777777" w:rsidR="00CD411D" w:rsidRPr="005E3B47" w:rsidRDefault="00CD411D" w:rsidP="0007641C">
            <w:pPr>
              <w:pStyle w:val="Listeafsnit"/>
              <w:numPr>
                <w:ilvl w:val="0"/>
                <w:numId w:val="3"/>
              </w:numPr>
              <w:rPr>
                <w:rFonts w:cstheme="minorHAnsi"/>
                <w:bCs/>
                <w:sz w:val="24"/>
                <w:szCs w:val="24"/>
              </w:rPr>
            </w:pPr>
            <w:r w:rsidRPr="005E3B47">
              <w:rPr>
                <w:rFonts w:cstheme="minorHAnsi"/>
                <w:bCs/>
                <w:sz w:val="24"/>
                <w:szCs w:val="24"/>
              </w:rPr>
              <w:t xml:space="preserve">Lærlingen har kendskab til hvilke byggematerialer, der typisk kommer ud af en nedrivning. </w:t>
            </w:r>
          </w:p>
          <w:p w14:paraId="3E0CFC3C" w14:textId="77777777" w:rsidR="00CD411D" w:rsidRPr="005E3B47" w:rsidRDefault="00CD411D" w:rsidP="00CD411D">
            <w:pPr>
              <w:rPr>
                <w:rFonts w:cstheme="minorHAnsi"/>
                <w:bCs/>
                <w:sz w:val="24"/>
                <w:szCs w:val="24"/>
              </w:rPr>
            </w:pPr>
            <w:r w:rsidRPr="005E3B47">
              <w:rPr>
                <w:rFonts w:cstheme="minorHAnsi"/>
                <w:bCs/>
                <w:sz w:val="24"/>
                <w:szCs w:val="24"/>
              </w:rPr>
              <w:lastRenderedPageBreak/>
              <w:t>Selektiv nedrivning:</w:t>
            </w:r>
          </w:p>
          <w:p w14:paraId="133558C6" w14:textId="77777777" w:rsidR="00CD411D" w:rsidRPr="005E3B47" w:rsidRDefault="00CD411D" w:rsidP="0007641C">
            <w:pPr>
              <w:pStyle w:val="Listeafsnit"/>
              <w:numPr>
                <w:ilvl w:val="0"/>
                <w:numId w:val="3"/>
              </w:numPr>
              <w:rPr>
                <w:rFonts w:cstheme="minorHAnsi"/>
                <w:bCs/>
                <w:sz w:val="24"/>
                <w:szCs w:val="24"/>
              </w:rPr>
            </w:pPr>
            <w:r w:rsidRPr="005E3B47">
              <w:rPr>
                <w:rFonts w:cstheme="minorHAnsi"/>
                <w:bCs/>
                <w:sz w:val="24"/>
                <w:szCs w:val="24"/>
              </w:rPr>
              <w:t xml:space="preserve">Lærlingen kender forskellen på nedrivning og selektiv nedrivning. </w:t>
            </w:r>
          </w:p>
          <w:p w14:paraId="009B68A5" w14:textId="77777777" w:rsidR="00CD411D" w:rsidRPr="005E3B47" w:rsidRDefault="00CD411D" w:rsidP="0007641C">
            <w:pPr>
              <w:pStyle w:val="Listeafsnit"/>
              <w:numPr>
                <w:ilvl w:val="0"/>
                <w:numId w:val="3"/>
              </w:numPr>
              <w:rPr>
                <w:rFonts w:cstheme="minorHAnsi"/>
                <w:bCs/>
                <w:sz w:val="24"/>
                <w:szCs w:val="24"/>
              </w:rPr>
            </w:pPr>
            <w:r w:rsidRPr="005E3B47">
              <w:rPr>
                <w:rFonts w:cstheme="minorHAnsi"/>
                <w:bCs/>
                <w:sz w:val="24"/>
                <w:szCs w:val="24"/>
              </w:rPr>
              <w:t xml:space="preserve">Lærlingen opnår forståelse for, hvordan man i praksis laver en selektiv nedrivning </w:t>
            </w:r>
          </w:p>
          <w:p w14:paraId="1D5A1243" w14:textId="650A24B5" w:rsidR="00372D73" w:rsidRPr="00CD411D" w:rsidRDefault="00CD411D" w:rsidP="0007641C">
            <w:pPr>
              <w:pStyle w:val="paragraph"/>
              <w:numPr>
                <w:ilvl w:val="0"/>
                <w:numId w:val="3"/>
              </w:numPr>
              <w:spacing w:before="0" w:beforeAutospacing="0" w:after="0" w:afterAutospacing="0"/>
              <w:textAlignment w:val="baseline"/>
              <w:rPr>
                <w:rFonts w:asciiTheme="minorHAnsi" w:hAnsiTheme="minorHAnsi" w:cstheme="minorHAnsi"/>
              </w:rPr>
            </w:pPr>
            <w:r w:rsidRPr="00CD411D">
              <w:rPr>
                <w:rFonts w:asciiTheme="minorHAnsi" w:hAnsiTheme="minorHAnsi" w:cstheme="minorHAnsi"/>
                <w:bCs/>
              </w:rPr>
              <w:t>Lærlingen kan forklare, hvorfor selektiv nedrivning giver god mening ift. cirkulært byggeri.</w:t>
            </w:r>
          </w:p>
        </w:tc>
      </w:tr>
      <w:tr w:rsidR="00C8017B" w:rsidRPr="00C8017B" w14:paraId="694E6C3F" w14:textId="77777777" w:rsidTr="134D7131">
        <w:tc>
          <w:tcPr>
            <w:tcW w:w="9747" w:type="dxa"/>
            <w:gridSpan w:val="2"/>
          </w:tcPr>
          <w:p w14:paraId="4D703839" w14:textId="7E59E2FB" w:rsidR="004858D4" w:rsidRDefault="004858D4" w:rsidP="4F61CA30">
            <w:pPr>
              <w:rPr>
                <w:b/>
                <w:bCs/>
                <w:color w:val="000000" w:themeColor="text1"/>
                <w:sz w:val="24"/>
                <w:szCs w:val="24"/>
              </w:rPr>
            </w:pPr>
            <w:r w:rsidRPr="4F61CA30">
              <w:rPr>
                <w:b/>
                <w:bCs/>
                <w:color w:val="000000" w:themeColor="text1"/>
                <w:sz w:val="24"/>
                <w:szCs w:val="24"/>
              </w:rPr>
              <w:lastRenderedPageBreak/>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55D1B660" w14:textId="6D453CD4" w:rsidR="00372D73" w:rsidRPr="00F24A49" w:rsidRDefault="00CF5EE5" w:rsidP="00FF102D">
            <w:pPr>
              <w:rPr>
                <w:color w:val="000000" w:themeColor="text1"/>
                <w:sz w:val="24"/>
                <w:szCs w:val="24"/>
              </w:rPr>
            </w:pPr>
            <w:r w:rsidRPr="005E3B47">
              <w:rPr>
                <w:rFonts w:cstheme="minorHAnsi"/>
                <w:sz w:val="24"/>
                <w:szCs w:val="24"/>
              </w:rPr>
              <w:t>Deltageren skal arbejde med begreberne cirkulært byggeri, selektiv nedbrydning, genbrug</w:t>
            </w:r>
            <w:r>
              <w:rPr>
                <w:rFonts w:cstheme="minorHAnsi"/>
                <w:sz w:val="24"/>
                <w:szCs w:val="24"/>
              </w:rPr>
              <w:t xml:space="preserve"> og </w:t>
            </w:r>
            <w:r w:rsidRPr="005E3B47">
              <w:rPr>
                <w:rFonts w:cstheme="minorHAnsi"/>
                <w:sz w:val="24"/>
                <w:szCs w:val="24"/>
              </w:rPr>
              <w:t>genanvendelse.</w:t>
            </w:r>
          </w:p>
        </w:tc>
      </w:tr>
      <w:tr w:rsidR="00C8017B" w:rsidRPr="00C8017B" w14:paraId="31C4F84C" w14:textId="77777777" w:rsidTr="134D7131">
        <w:tc>
          <w:tcPr>
            <w:tcW w:w="9747" w:type="dxa"/>
            <w:gridSpan w:val="2"/>
          </w:tcPr>
          <w:p w14:paraId="42311FCB" w14:textId="77777777" w:rsidR="00372D73" w:rsidRPr="00372D73" w:rsidRDefault="00372D73" w:rsidP="00372D73">
            <w:pPr>
              <w:rPr>
                <w:b/>
                <w:bCs/>
                <w:sz w:val="24"/>
                <w:szCs w:val="24"/>
              </w:rPr>
            </w:pPr>
            <w:r w:rsidRPr="00372D73">
              <w:rPr>
                <w:b/>
                <w:bCs/>
                <w:color w:val="000000" w:themeColor="text1"/>
                <w:sz w:val="24"/>
                <w:szCs w:val="24"/>
              </w:rPr>
              <w:t>Forslag til undervisningsplan:</w:t>
            </w:r>
          </w:p>
          <w:p w14:paraId="3B985A64" w14:textId="77777777" w:rsidR="00372D73" w:rsidRDefault="00372D73" w:rsidP="00372D73">
            <w:pPr>
              <w:pStyle w:val="Listeafsnit"/>
              <w:rPr>
                <w:b/>
                <w:bCs/>
                <w:sz w:val="24"/>
                <w:szCs w:val="24"/>
              </w:rPr>
            </w:pPr>
          </w:p>
          <w:p w14:paraId="3C0A171B" w14:textId="3B5F7D1F" w:rsidR="000D1972" w:rsidRPr="000D1972" w:rsidRDefault="0007641C" w:rsidP="000D1972">
            <w:pPr>
              <w:pStyle w:val="Listeafsnit"/>
              <w:spacing w:after="200" w:line="276" w:lineRule="auto"/>
              <w:rPr>
                <w:b/>
                <w:bCs/>
                <w:sz w:val="24"/>
                <w:szCs w:val="24"/>
              </w:rPr>
            </w:pPr>
            <w:r>
              <w:rPr>
                <w:b/>
                <w:bCs/>
                <w:sz w:val="24"/>
                <w:szCs w:val="24"/>
                <w:u w:val="single"/>
              </w:rPr>
              <w:t xml:space="preserve">Evt. </w:t>
            </w:r>
            <w:r w:rsidR="000D1972" w:rsidRPr="00F2199F">
              <w:rPr>
                <w:b/>
                <w:bCs/>
                <w:sz w:val="24"/>
                <w:szCs w:val="24"/>
                <w:u w:val="single"/>
              </w:rPr>
              <w:t>Læren igangsætter undervisningen og introducere materialet/forløbet:</w:t>
            </w:r>
            <w:r w:rsidR="000D1972" w:rsidRPr="007A742D">
              <w:rPr>
                <w:b/>
                <w:bCs/>
                <w:sz w:val="24"/>
                <w:szCs w:val="24"/>
              </w:rPr>
              <w:br/>
            </w:r>
            <w:r w:rsidR="000D1972">
              <w:rPr>
                <w:sz w:val="24"/>
                <w:szCs w:val="24"/>
              </w:rPr>
              <w:t>I</w:t>
            </w:r>
            <w:r w:rsidR="000D1972" w:rsidRPr="007A742D">
              <w:rPr>
                <w:sz w:val="24"/>
                <w:szCs w:val="24"/>
              </w:rPr>
              <w:t>ntroduktion/re</w:t>
            </w:r>
            <w:r w:rsidR="000D1972">
              <w:rPr>
                <w:sz w:val="24"/>
                <w:szCs w:val="24"/>
              </w:rPr>
              <w:t>-</w:t>
            </w:r>
            <w:r w:rsidR="000D1972" w:rsidRPr="007A742D">
              <w:rPr>
                <w:sz w:val="24"/>
                <w:szCs w:val="24"/>
              </w:rPr>
              <w:t>introduktion til hjemmeside</w:t>
            </w:r>
          </w:p>
          <w:p w14:paraId="32C36B41" w14:textId="77777777" w:rsidR="000D1972" w:rsidRDefault="000D1972" w:rsidP="00372D73">
            <w:pPr>
              <w:pStyle w:val="Listeafsnit"/>
              <w:rPr>
                <w:b/>
                <w:bCs/>
                <w:sz w:val="24"/>
                <w:szCs w:val="24"/>
              </w:rPr>
            </w:pPr>
          </w:p>
          <w:p w14:paraId="3D828B45" w14:textId="6EB04872" w:rsidR="00372D73" w:rsidRPr="000D1972" w:rsidRDefault="000D1972" w:rsidP="00372D73">
            <w:pPr>
              <w:pStyle w:val="Listeafsnit"/>
              <w:rPr>
                <w:b/>
                <w:bCs/>
                <w:sz w:val="24"/>
                <w:szCs w:val="24"/>
                <w:u w:val="single"/>
              </w:rPr>
            </w:pPr>
            <w:r>
              <w:rPr>
                <w:b/>
                <w:bCs/>
                <w:sz w:val="24"/>
                <w:szCs w:val="24"/>
                <w:u w:val="single"/>
              </w:rPr>
              <w:t>Video</w:t>
            </w:r>
            <w:r w:rsidR="00372D73" w:rsidRPr="000D1972">
              <w:rPr>
                <w:b/>
                <w:bCs/>
                <w:sz w:val="24"/>
                <w:szCs w:val="24"/>
                <w:u w:val="single"/>
              </w:rPr>
              <w:t xml:space="preserve"> (5 min)</w:t>
            </w:r>
          </w:p>
          <w:p w14:paraId="77370F61" w14:textId="1283D218" w:rsidR="00381AA6" w:rsidRDefault="000D1972" w:rsidP="000D1972">
            <w:pPr>
              <w:ind w:left="720"/>
              <w:rPr>
                <w:b/>
                <w:bCs/>
                <w:sz w:val="24"/>
                <w:szCs w:val="24"/>
              </w:rPr>
            </w:pPr>
            <w:r w:rsidRPr="000D1972">
              <w:rPr>
                <w:sz w:val="24"/>
                <w:szCs w:val="24"/>
              </w:rPr>
              <w:t>Lærlingen ser video</w:t>
            </w:r>
          </w:p>
          <w:p w14:paraId="442382B3" w14:textId="77777777" w:rsidR="000D1972" w:rsidRPr="000D1972" w:rsidRDefault="000D1972" w:rsidP="000D1972">
            <w:pPr>
              <w:ind w:left="720"/>
              <w:rPr>
                <w:b/>
                <w:bCs/>
                <w:sz w:val="24"/>
                <w:szCs w:val="24"/>
              </w:rPr>
            </w:pPr>
          </w:p>
          <w:p w14:paraId="7D56991C" w14:textId="40F5301C" w:rsidR="00596A33" w:rsidRPr="000D1972" w:rsidRDefault="00270B8E" w:rsidP="00596A33">
            <w:pPr>
              <w:ind w:left="720"/>
              <w:rPr>
                <w:b/>
                <w:bCs/>
                <w:sz w:val="24"/>
                <w:szCs w:val="24"/>
                <w:u w:val="single"/>
              </w:rPr>
            </w:pPr>
            <w:r>
              <w:rPr>
                <w:b/>
                <w:bCs/>
                <w:sz w:val="24"/>
                <w:szCs w:val="24"/>
                <w:u w:val="single"/>
              </w:rPr>
              <w:t>Quiz</w:t>
            </w:r>
            <w:r w:rsidR="000D1972">
              <w:rPr>
                <w:b/>
                <w:bCs/>
                <w:sz w:val="24"/>
                <w:szCs w:val="24"/>
                <w:u w:val="single"/>
              </w:rPr>
              <w:t xml:space="preserve"> til videoen</w:t>
            </w:r>
            <w:r w:rsidR="00372D73" w:rsidRPr="000D1972">
              <w:rPr>
                <w:b/>
                <w:bCs/>
                <w:sz w:val="24"/>
                <w:szCs w:val="24"/>
                <w:u w:val="single"/>
              </w:rPr>
              <w:t xml:space="preserve"> (</w:t>
            </w:r>
            <w:r w:rsidR="00381AA6" w:rsidRPr="000D1972">
              <w:rPr>
                <w:b/>
                <w:bCs/>
                <w:sz w:val="24"/>
                <w:szCs w:val="24"/>
                <w:u w:val="single"/>
              </w:rPr>
              <w:t>10 min)</w:t>
            </w:r>
          </w:p>
          <w:p w14:paraId="1ACCD23E" w14:textId="09143A95" w:rsidR="00596A33" w:rsidRDefault="000D1972" w:rsidP="000D1972">
            <w:pPr>
              <w:pStyle w:val="Listeafsnit"/>
              <w:rPr>
                <w:sz w:val="24"/>
                <w:szCs w:val="24"/>
              </w:rPr>
            </w:pPr>
            <w:r>
              <w:rPr>
                <w:sz w:val="24"/>
                <w:szCs w:val="24"/>
              </w:rPr>
              <w:t>Efter lærlingene har set videoen, skal besvare spørgsmål relateret til emnet</w:t>
            </w:r>
            <w:r w:rsidR="00706455">
              <w:rPr>
                <w:sz w:val="24"/>
                <w:szCs w:val="24"/>
              </w:rPr>
              <w:t xml:space="preserve">. </w:t>
            </w:r>
            <w:r w:rsidR="000C6032">
              <w:rPr>
                <w:sz w:val="24"/>
                <w:szCs w:val="24"/>
              </w:rPr>
              <w:t xml:space="preserve">Der er </w:t>
            </w:r>
            <w:r w:rsidR="0007641C">
              <w:rPr>
                <w:sz w:val="24"/>
                <w:szCs w:val="24"/>
              </w:rPr>
              <w:t>syv</w:t>
            </w:r>
            <w:r w:rsidR="000C6032">
              <w:rPr>
                <w:sz w:val="24"/>
                <w:szCs w:val="24"/>
              </w:rPr>
              <w:t xml:space="preserve"> spørgsmål i quizzen: </w:t>
            </w:r>
          </w:p>
          <w:p w14:paraId="1EDC0860" w14:textId="77777777" w:rsidR="000C6032" w:rsidRDefault="000C6032" w:rsidP="000D1972">
            <w:pPr>
              <w:pStyle w:val="Listeafsnit"/>
              <w:rPr>
                <w:sz w:val="24"/>
                <w:szCs w:val="24"/>
              </w:rPr>
            </w:pPr>
          </w:p>
          <w:p w14:paraId="7711DC25" w14:textId="0471B15C" w:rsidR="002E7572" w:rsidRDefault="002E7572" w:rsidP="0007641C">
            <w:pPr>
              <w:pStyle w:val="Listeafsnit"/>
              <w:numPr>
                <w:ilvl w:val="0"/>
                <w:numId w:val="5"/>
              </w:numPr>
              <w:rPr>
                <w:sz w:val="24"/>
                <w:szCs w:val="24"/>
              </w:rPr>
            </w:pPr>
            <w:r>
              <w:rPr>
                <w:sz w:val="24"/>
                <w:szCs w:val="24"/>
              </w:rPr>
              <w:t xml:space="preserve">Hvorfor er det vigtigt at genbruge byggematerialer i byggeriet? </w:t>
            </w:r>
          </w:p>
          <w:p w14:paraId="1749A03E" w14:textId="77777777" w:rsidR="00F66DD0" w:rsidRPr="007E2053" w:rsidRDefault="00F66DD0" w:rsidP="0007641C">
            <w:pPr>
              <w:pStyle w:val="Listeafsnit"/>
              <w:numPr>
                <w:ilvl w:val="0"/>
                <w:numId w:val="5"/>
              </w:numPr>
              <w:spacing w:after="0" w:line="240" w:lineRule="auto"/>
              <w:rPr>
                <w:sz w:val="24"/>
                <w:szCs w:val="24"/>
              </w:rPr>
            </w:pPr>
            <w:r w:rsidRPr="007E2053">
              <w:rPr>
                <w:sz w:val="24"/>
                <w:szCs w:val="24"/>
              </w:rPr>
              <w:t>Hvad kan være udfordringen ved at bruge genbrugsmaterialer?</w:t>
            </w:r>
          </w:p>
          <w:p w14:paraId="664A0410" w14:textId="77777777" w:rsidR="00A71589" w:rsidRPr="007E2053" w:rsidRDefault="00A71589" w:rsidP="0007641C">
            <w:pPr>
              <w:pStyle w:val="Listeafsnit"/>
              <w:numPr>
                <w:ilvl w:val="0"/>
                <w:numId w:val="5"/>
              </w:numPr>
              <w:spacing w:after="0" w:line="240" w:lineRule="auto"/>
              <w:rPr>
                <w:sz w:val="24"/>
                <w:szCs w:val="24"/>
              </w:rPr>
            </w:pPr>
            <w:r w:rsidRPr="007E2053">
              <w:rPr>
                <w:sz w:val="24"/>
                <w:szCs w:val="24"/>
              </w:rPr>
              <w:t>Hvad er forskellen på genbrug og genanvendelse af materialer?</w:t>
            </w:r>
          </w:p>
          <w:p w14:paraId="0A686EC0" w14:textId="77777777" w:rsidR="00A71589" w:rsidRPr="007E2053" w:rsidRDefault="00A71589" w:rsidP="0007641C">
            <w:pPr>
              <w:pStyle w:val="Listeafsnit"/>
              <w:numPr>
                <w:ilvl w:val="0"/>
                <w:numId w:val="5"/>
              </w:numPr>
              <w:spacing w:after="0" w:line="240" w:lineRule="auto"/>
              <w:rPr>
                <w:sz w:val="24"/>
                <w:szCs w:val="24"/>
              </w:rPr>
            </w:pPr>
            <w:r w:rsidRPr="007E2053">
              <w:rPr>
                <w:sz w:val="24"/>
                <w:szCs w:val="24"/>
              </w:rPr>
              <w:t>Hvorfor er det bedre at genbruge byggematerialer frem at genanvende dem?</w:t>
            </w:r>
          </w:p>
          <w:p w14:paraId="77F9AB97" w14:textId="77777777" w:rsidR="00EF3C42" w:rsidRPr="007E2053" w:rsidRDefault="00EF3C42" w:rsidP="0007641C">
            <w:pPr>
              <w:pStyle w:val="Listeafsnit"/>
              <w:numPr>
                <w:ilvl w:val="0"/>
                <w:numId w:val="5"/>
              </w:numPr>
              <w:spacing w:after="0" w:line="240" w:lineRule="auto"/>
              <w:rPr>
                <w:sz w:val="24"/>
                <w:szCs w:val="24"/>
              </w:rPr>
            </w:pPr>
            <w:r w:rsidRPr="007E2053">
              <w:rPr>
                <w:sz w:val="24"/>
                <w:szCs w:val="24"/>
              </w:rPr>
              <w:t>Hvad handler cirkulært byggeri om?</w:t>
            </w:r>
          </w:p>
          <w:p w14:paraId="59C011BE" w14:textId="77777777" w:rsidR="00EF3C42" w:rsidRPr="007E2053" w:rsidRDefault="00EF3C42" w:rsidP="0007641C">
            <w:pPr>
              <w:pStyle w:val="Listeafsnit"/>
              <w:numPr>
                <w:ilvl w:val="0"/>
                <w:numId w:val="5"/>
              </w:numPr>
              <w:rPr>
                <w:sz w:val="24"/>
                <w:szCs w:val="24"/>
              </w:rPr>
            </w:pPr>
            <w:r w:rsidRPr="007E2053">
              <w:rPr>
                <w:sz w:val="24"/>
                <w:szCs w:val="24"/>
              </w:rPr>
              <w:t>Hvad er en selektiv nedrivning?</w:t>
            </w:r>
          </w:p>
          <w:p w14:paraId="5FF8F946" w14:textId="041D180B" w:rsidR="002E7572" w:rsidRDefault="00EF3C42" w:rsidP="0007641C">
            <w:pPr>
              <w:pStyle w:val="Listeafsnit"/>
              <w:numPr>
                <w:ilvl w:val="0"/>
                <w:numId w:val="5"/>
              </w:numPr>
              <w:rPr>
                <w:sz w:val="24"/>
                <w:szCs w:val="24"/>
              </w:rPr>
            </w:pPr>
            <w:r w:rsidRPr="007E2053">
              <w:rPr>
                <w:sz w:val="24"/>
                <w:szCs w:val="24"/>
              </w:rPr>
              <w:t>Hvor kan man blandt andet købe genbrugsmaterialer henne?</w:t>
            </w:r>
          </w:p>
          <w:p w14:paraId="29513E35" w14:textId="77777777" w:rsidR="000D1972" w:rsidRPr="0007641C" w:rsidRDefault="000D1972" w:rsidP="0007641C">
            <w:pPr>
              <w:rPr>
                <w:sz w:val="24"/>
                <w:szCs w:val="24"/>
              </w:rPr>
            </w:pPr>
          </w:p>
          <w:p w14:paraId="7814388D" w14:textId="71482CA7" w:rsidR="00566BFB" w:rsidRPr="000D1972" w:rsidRDefault="00372D73" w:rsidP="00566BFB">
            <w:pPr>
              <w:ind w:left="720"/>
              <w:rPr>
                <w:b/>
                <w:bCs/>
                <w:sz w:val="24"/>
                <w:szCs w:val="24"/>
                <w:u w:val="single"/>
              </w:rPr>
            </w:pPr>
            <w:r w:rsidRPr="000D1972">
              <w:rPr>
                <w:b/>
                <w:bCs/>
                <w:sz w:val="24"/>
                <w:szCs w:val="24"/>
                <w:u w:val="single"/>
              </w:rPr>
              <w:t>Opsamling i plenum (</w:t>
            </w:r>
            <w:r w:rsidR="0007641C">
              <w:rPr>
                <w:b/>
                <w:bCs/>
                <w:sz w:val="24"/>
                <w:szCs w:val="24"/>
                <w:u w:val="single"/>
              </w:rPr>
              <w:t>10</w:t>
            </w:r>
            <w:r w:rsidR="00214985" w:rsidRPr="000D1972">
              <w:rPr>
                <w:b/>
                <w:bCs/>
                <w:sz w:val="24"/>
                <w:szCs w:val="24"/>
                <w:u w:val="single"/>
              </w:rPr>
              <w:t xml:space="preserve"> min</w:t>
            </w:r>
            <w:r w:rsidRPr="000D1972">
              <w:rPr>
                <w:b/>
                <w:bCs/>
                <w:sz w:val="24"/>
                <w:szCs w:val="24"/>
                <w:u w:val="single"/>
              </w:rPr>
              <w:t>)</w:t>
            </w:r>
          </w:p>
          <w:p w14:paraId="69924F0C" w14:textId="03DD28CC" w:rsidR="00372D73" w:rsidRPr="000D1972" w:rsidRDefault="00372D73" w:rsidP="000D1972">
            <w:pPr>
              <w:ind w:left="720"/>
              <w:rPr>
                <w:b/>
                <w:bCs/>
                <w:sz w:val="24"/>
                <w:szCs w:val="24"/>
              </w:rPr>
            </w:pPr>
            <w:r w:rsidRPr="000D1972">
              <w:rPr>
                <w:sz w:val="24"/>
                <w:szCs w:val="24"/>
              </w:rPr>
              <w:t xml:space="preserve">Læreren faciliterer en opsamling </w:t>
            </w:r>
            <w:r w:rsidR="00566BFB" w:rsidRPr="000D1972">
              <w:rPr>
                <w:sz w:val="24"/>
                <w:szCs w:val="24"/>
              </w:rPr>
              <w:t>af den nye viden som lærlingen har opnået</w:t>
            </w:r>
            <w:r w:rsidR="00381AA6" w:rsidRPr="000D1972">
              <w:rPr>
                <w:sz w:val="24"/>
                <w:szCs w:val="24"/>
              </w:rPr>
              <w:t>.</w:t>
            </w:r>
            <w:r w:rsidR="007E2053">
              <w:rPr>
                <w:sz w:val="24"/>
                <w:szCs w:val="24"/>
              </w:rPr>
              <w:t xml:space="preserve"> </w:t>
            </w:r>
            <w:r w:rsidR="00DC4960">
              <w:rPr>
                <w:sz w:val="24"/>
                <w:szCs w:val="24"/>
              </w:rPr>
              <w:t>Brug</w:t>
            </w:r>
            <w:r w:rsidR="00F91E01">
              <w:rPr>
                <w:sz w:val="24"/>
                <w:szCs w:val="24"/>
              </w:rPr>
              <w:t xml:space="preserve"> videoen og</w:t>
            </w:r>
            <w:r w:rsidR="00DC4960">
              <w:rPr>
                <w:sz w:val="24"/>
                <w:szCs w:val="24"/>
              </w:rPr>
              <w:t xml:space="preserve"> de syv spørgsmål som udgangspunkt, og snak om, hvad der er de rigtige svar.</w:t>
            </w:r>
          </w:p>
          <w:p w14:paraId="623E2577" w14:textId="7397C627" w:rsidR="00C60343" w:rsidRPr="004F1058" w:rsidRDefault="00C60343" w:rsidP="00C60343">
            <w:pPr>
              <w:rPr>
                <w:b/>
                <w:sz w:val="24"/>
                <w:szCs w:val="24"/>
                <w:u w:val="single"/>
              </w:rPr>
            </w:pPr>
          </w:p>
          <w:p w14:paraId="2525AF5B" w14:textId="3669BDE3" w:rsidR="00957A33" w:rsidRPr="0012291D" w:rsidRDefault="00957A33" w:rsidP="00372D73">
            <w:pPr>
              <w:pStyle w:val="Listeafsnit"/>
              <w:ind w:left="1304"/>
              <w:rPr>
                <w:b/>
                <w:bCs/>
                <w:color w:val="000000" w:themeColor="text1"/>
                <w:sz w:val="24"/>
                <w:szCs w:val="24"/>
                <w:u w:val="single"/>
              </w:rPr>
            </w:pPr>
          </w:p>
        </w:tc>
      </w:tr>
      <w:tr w:rsidR="00C8017B" w:rsidRPr="00C8017B" w14:paraId="5227C891" w14:textId="77777777" w:rsidTr="134D7131">
        <w:tc>
          <w:tcPr>
            <w:tcW w:w="9747" w:type="dxa"/>
            <w:gridSpan w:val="2"/>
          </w:tcPr>
          <w:p w14:paraId="6DB19ED8" w14:textId="3CE5FB0F" w:rsidR="0067400D" w:rsidRPr="00C8017B" w:rsidRDefault="00825C71" w:rsidP="004F3224">
            <w:pPr>
              <w:rPr>
                <w:color w:val="000000" w:themeColor="text1"/>
                <w:sz w:val="24"/>
                <w:szCs w:val="24"/>
              </w:rPr>
            </w:pPr>
            <w:r w:rsidRPr="3F86ECC0">
              <w:rPr>
                <w:b/>
                <w:bCs/>
                <w:color w:val="000000" w:themeColor="text1"/>
                <w:sz w:val="24"/>
                <w:szCs w:val="24"/>
              </w:rPr>
              <w:t>Differentiering</w:t>
            </w:r>
            <w:r w:rsidR="0067400D" w:rsidRPr="3F86ECC0">
              <w:rPr>
                <w:b/>
                <w:bCs/>
                <w:color w:val="000000" w:themeColor="text1"/>
                <w:sz w:val="24"/>
                <w:szCs w:val="24"/>
              </w:rPr>
              <w:t>:</w:t>
            </w:r>
            <w:r w:rsidR="0012291D">
              <w:rPr>
                <w:b/>
                <w:bCs/>
                <w:color w:val="000000" w:themeColor="text1"/>
                <w:sz w:val="24"/>
                <w:szCs w:val="24"/>
              </w:rPr>
              <w:br/>
            </w:r>
            <w:r w:rsidR="00381AA6" w:rsidRPr="00381AA6">
              <w:rPr>
                <w:sz w:val="24"/>
                <w:szCs w:val="24"/>
              </w:rPr>
              <w:t>Deltagerens egen evne til at opfatte og reflektere over indholdet i videoen og søge viden om emnet giver mulighed for at give mere eller mindre avancerede bidrag til vidensdelingen.</w:t>
            </w:r>
          </w:p>
        </w:tc>
      </w:tr>
      <w:tr w:rsidR="00C8017B" w:rsidRPr="00C8017B" w14:paraId="18B8EF02" w14:textId="77777777" w:rsidTr="134D7131">
        <w:tc>
          <w:tcPr>
            <w:tcW w:w="9747" w:type="dxa"/>
            <w:gridSpan w:val="2"/>
          </w:tcPr>
          <w:p w14:paraId="5A99D823" w14:textId="2C9C6072" w:rsidR="00D65D22" w:rsidRDefault="43AAF839" w:rsidP="3F86ECC0">
            <w:pPr>
              <w:rPr>
                <w:color w:val="000000" w:themeColor="text1"/>
                <w:sz w:val="24"/>
                <w:szCs w:val="24"/>
              </w:rPr>
            </w:pPr>
            <w:r w:rsidRPr="3F86ECC0">
              <w:rPr>
                <w:b/>
                <w:bCs/>
                <w:color w:val="000000" w:themeColor="text1"/>
                <w:sz w:val="24"/>
                <w:szCs w:val="24"/>
              </w:rPr>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r w:rsidR="00381AA6" w:rsidRPr="00381AA6">
              <w:rPr>
                <w:color w:val="000000" w:themeColor="text1"/>
                <w:sz w:val="24"/>
                <w:szCs w:val="24"/>
              </w:rPr>
              <w:t>Med hvert bidrag får deltageren direkte feedback fra læreren, idet læreren hjælper til med at præcisere argumentationen, inden bidraget skrives på tavlen. Deltageren vil opleve, at ’gode’ bidrag anerkendes og skrives direkte på tavlen, mens upræcise/forkerte bidrag tildannes/omfortolkes i samarbejde mellem læreren og deltageren, inden de skrives på tavlen.</w:t>
            </w:r>
          </w:p>
          <w:p w14:paraId="792843AB" w14:textId="13457E10" w:rsidR="00D65D22" w:rsidRPr="00C8017B" w:rsidRDefault="00D65D22" w:rsidP="3F86ECC0">
            <w:pPr>
              <w:rPr>
                <w:color w:val="000000" w:themeColor="text1"/>
                <w:sz w:val="24"/>
                <w:szCs w:val="24"/>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4F14C2">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E36E" w14:textId="77777777" w:rsidR="004F14C2" w:rsidRDefault="004F14C2" w:rsidP="00433C37">
      <w:pPr>
        <w:spacing w:after="0" w:line="240" w:lineRule="auto"/>
      </w:pPr>
      <w:r>
        <w:separator/>
      </w:r>
    </w:p>
  </w:endnote>
  <w:endnote w:type="continuationSeparator" w:id="0">
    <w:p w14:paraId="7426D7BF" w14:textId="77777777" w:rsidR="004F14C2" w:rsidRDefault="004F14C2" w:rsidP="00433C37">
      <w:pPr>
        <w:spacing w:after="0" w:line="240" w:lineRule="auto"/>
      </w:pPr>
      <w:r>
        <w:continuationSeparator/>
      </w:r>
    </w:p>
  </w:endnote>
  <w:endnote w:type="continuationNotice" w:id="1">
    <w:p w14:paraId="6DC5B3A8" w14:textId="77777777" w:rsidR="004F14C2" w:rsidRDefault="004F1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EndPr/>
    <w:sdtContent>
      <w:sdt>
        <w:sdtPr>
          <w:rPr>
            <w:i/>
            <w:sz w:val="18"/>
            <w:szCs w:val="18"/>
          </w:rPr>
          <w:id w:val="860082579"/>
          <w:docPartObj>
            <w:docPartGallery w:val="Page Numbers (Top of Page)"/>
            <w:docPartUnique/>
          </w:docPartObj>
        </w:sdtPr>
        <w:sdtEnd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B458" w14:textId="77777777" w:rsidR="004F14C2" w:rsidRDefault="004F14C2" w:rsidP="00433C37">
      <w:pPr>
        <w:spacing w:after="0" w:line="240" w:lineRule="auto"/>
      </w:pPr>
      <w:r>
        <w:separator/>
      </w:r>
    </w:p>
  </w:footnote>
  <w:footnote w:type="continuationSeparator" w:id="0">
    <w:p w14:paraId="7C0ECE21" w14:textId="77777777" w:rsidR="004F14C2" w:rsidRDefault="004F14C2" w:rsidP="00433C37">
      <w:pPr>
        <w:spacing w:after="0" w:line="240" w:lineRule="auto"/>
      </w:pPr>
      <w:r>
        <w:continuationSeparator/>
      </w:r>
    </w:p>
  </w:footnote>
  <w:footnote w:type="continuationNotice" w:id="1">
    <w:p w14:paraId="22F2C946" w14:textId="77777777" w:rsidR="004F14C2" w:rsidRDefault="004F1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3B51"/>
    <w:multiLevelType w:val="hybridMultilevel"/>
    <w:tmpl w:val="3200A0B0"/>
    <w:lvl w:ilvl="0" w:tplc="9E84D4D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0213191">
    <w:abstractNumId w:val="3"/>
  </w:num>
  <w:num w:numId="2" w16cid:durableId="903957031">
    <w:abstractNumId w:val="4"/>
  </w:num>
  <w:num w:numId="3" w16cid:durableId="1223566187">
    <w:abstractNumId w:val="2"/>
  </w:num>
  <w:num w:numId="4" w16cid:durableId="188644298">
    <w:abstractNumId w:val="1"/>
  </w:num>
  <w:num w:numId="5" w16cid:durableId="13117099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2F93"/>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7641C"/>
    <w:rsid w:val="00084652"/>
    <w:rsid w:val="0008600C"/>
    <w:rsid w:val="00093340"/>
    <w:rsid w:val="00093F6A"/>
    <w:rsid w:val="0009582C"/>
    <w:rsid w:val="000A5A6C"/>
    <w:rsid w:val="000B247C"/>
    <w:rsid w:val="000B70E7"/>
    <w:rsid w:val="000B71AE"/>
    <w:rsid w:val="000C28B9"/>
    <w:rsid w:val="000C6032"/>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17B8"/>
    <w:rsid w:val="001B6490"/>
    <w:rsid w:val="001C312A"/>
    <w:rsid w:val="001D3F4A"/>
    <w:rsid w:val="001D48F7"/>
    <w:rsid w:val="001E2913"/>
    <w:rsid w:val="001E458B"/>
    <w:rsid w:val="001F357B"/>
    <w:rsid w:val="001F4BA7"/>
    <w:rsid w:val="001F5ABF"/>
    <w:rsid w:val="002108D1"/>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0B8E"/>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E7572"/>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14C2"/>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06455"/>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2053"/>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6E7"/>
    <w:rsid w:val="00861859"/>
    <w:rsid w:val="00865FBA"/>
    <w:rsid w:val="00866DC3"/>
    <w:rsid w:val="008717ED"/>
    <w:rsid w:val="008752E5"/>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31EC"/>
    <w:rsid w:val="009C7007"/>
    <w:rsid w:val="009D2ECA"/>
    <w:rsid w:val="009D3786"/>
    <w:rsid w:val="009E08EB"/>
    <w:rsid w:val="009F17A5"/>
    <w:rsid w:val="009F3235"/>
    <w:rsid w:val="009F7F57"/>
    <w:rsid w:val="00A02593"/>
    <w:rsid w:val="00A03B74"/>
    <w:rsid w:val="00A044EE"/>
    <w:rsid w:val="00A06CA5"/>
    <w:rsid w:val="00A13A94"/>
    <w:rsid w:val="00A17E78"/>
    <w:rsid w:val="00A30021"/>
    <w:rsid w:val="00A30AE4"/>
    <w:rsid w:val="00A3799E"/>
    <w:rsid w:val="00A40BA6"/>
    <w:rsid w:val="00A45E07"/>
    <w:rsid w:val="00A52C02"/>
    <w:rsid w:val="00A54A7B"/>
    <w:rsid w:val="00A57269"/>
    <w:rsid w:val="00A62D62"/>
    <w:rsid w:val="00A643AB"/>
    <w:rsid w:val="00A70B95"/>
    <w:rsid w:val="00A71589"/>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04BB"/>
    <w:rsid w:val="00C81AC3"/>
    <w:rsid w:val="00C85607"/>
    <w:rsid w:val="00C97A2E"/>
    <w:rsid w:val="00CA0675"/>
    <w:rsid w:val="00CA678F"/>
    <w:rsid w:val="00CA7051"/>
    <w:rsid w:val="00CB0724"/>
    <w:rsid w:val="00CB5278"/>
    <w:rsid w:val="00CC02A8"/>
    <w:rsid w:val="00CC1843"/>
    <w:rsid w:val="00CC2954"/>
    <w:rsid w:val="00CD37E5"/>
    <w:rsid w:val="00CD411D"/>
    <w:rsid w:val="00CD7FF0"/>
    <w:rsid w:val="00CE169A"/>
    <w:rsid w:val="00CE2F92"/>
    <w:rsid w:val="00CE513E"/>
    <w:rsid w:val="00CE517A"/>
    <w:rsid w:val="00CE6178"/>
    <w:rsid w:val="00CF1622"/>
    <w:rsid w:val="00CF348D"/>
    <w:rsid w:val="00CF45A1"/>
    <w:rsid w:val="00CF5EE5"/>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55C3"/>
    <w:rsid w:val="00DB694A"/>
    <w:rsid w:val="00DC366D"/>
    <w:rsid w:val="00DC4960"/>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EF3C42"/>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66DD0"/>
    <w:rsid w:val="00F71D98"/>
    <w:rsid w:val="00F720A1"/>
    <w:rsid w:val="00F77A43"/>
    <w:rsid w:val="00F8083D"/>
    <w:rsid w:val="00F81EE2"/>
    <w:rsid w:val="00F91E01"/>
    <w:rsid w:val="00F946CC"/>
    <w:rsid w:val="00F95001"/>
    <w:rsid w:val="00F96B88"/>
    <w:rsid w:val="00FA1143"/>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66DD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 w:type="character" w:customStyle="1" w:styleId="Overskrift2Tegn">
    <w:name w:val="Overskrift 2 Tegn"/>
    <w:basedOn w:val="Standardskrifttypeiafsnit"/>
    <w:link w:val="Overskrift2"/>
    <w:uiPriority w:val="9"/>
    <w:rsid w:val="00F66DD0"/>
    <w:rPr>
      <w:rFonts w:ascii="Times New Roman" w:eastAsia="Times New Roman" w:hAnsi="Times New Roman" w:cs="Times New Roman"/>
      <w:b/>
      <w:bCs/>
      <w:sz w:val="36"/>
      <w:szCs w:val="3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9990">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766922">
      <w:bodyDiv w:val="1"/>
      <w:marLeft w:val="0"/>
      <w:marRight w:val="0"/>
      <w:marTop w:val="0"/>
      <w:marBottom w:val="0"/>
      <w:divBdr>
        <w:top w:val="none" w:sz="0" w:space="0" w:color="auto"/>
        <w:left w:val="none" w:sz="0" w:space="0" w:color="auto"/>
        <w:bottom w:val="none" w:sz="0" w:space="0" w:color="auto"/>
        <w:right w:val="none" w:sz="0" w:space="0" w:color="auto"/>
      </w:divBdr>
    </w:div>
    <w:div w:id="538128921">
      <w:bodyDiv w:val="1"/>
      <w:marLeft w:val="0"/>
      <w:marRight w:val="0"/>
      <w:marTop w:val="0"/>
      <w:marBottom w:val="0"/>
      <w:divBdr>
        <w:top w:val="none" w:sz="0" w:space="0" w:color="auto"/>
        <w:left w:val="none" w:sz="0" w:space="0" w:color="auto"/>
        <w:bottom w:val="none" w:sz="0" w:space="0" w:color="auto"/>
        <w:right w:val="none" w:sz="0" w:space="0" w:color="auto"/>
      </w:divBdr>
    </w:div>
    <w:div w:id="588732543">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93307">
      <w:bodyDiv w:val="1"/>
      <w:marLeft w:val="0"/>
      <w:marRight w:val="0"/>
      <w:marTop w:val="0"/>
      <w:marBottom w:val="0"/>
      <w:divBdr>
        <w:top w:val="none" w:sz="0" w:space="0" w:color="auto"/>
        <w:left w:val="none" w:sz="0" w:space="0" w:color="auto"/>
        <w:bottom w:val="none" w:sz="0" w:space="0" w:color="auto"/>
        <w:right w:val="none" w:sz="0" w:space="0" w:color="auto"/>
      </w:divBdr>
    </w:div>
    <w:div w:id="962687729">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249827">
      <w:bodyDiv w:val="1"/>
      <w:marLeft w:val="0"/>
      <w:marRight w:val="0"/>
      <w:marTop w:val="0"/>
      <w:marBottom w:val="0"/>
      <w:divBdr>
        <w:top w:val="none" w:sz="0" w:space="0" w:color="auto"/>
        <w:left w:val="none" w:sz="0" w:space="0" w:color="auto"/>
        <w:bottom w:val="none" w:sz="0" w:space="0" w:color="auto"/>
        <w:right w:val="none" w:sz="0" w:space="0" w:color="auto"/>
      </w:divBdr>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983664F2-231C-460E-9CBE-3880D26373A9}">
  <ds:schemaRefs>
    <ds:schemaRef ds:uri="http://schemas.openxmlformats.org/officeDocument/2006/bibliography"/>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3D87B10C-2CDA-4BE7-8D7D-3F9D87406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 Lisa Egebæk (PlanMiljø)</cp:lastModifiedBy>
  <cp:revision>2</cp:revision>
  <cp:lastPrinted>2015-11-05T08:24:00Z</cp:lastPrinted>
  <dcterms:created xsi:type="dcterms:W3CDTF">2024-03-05T12:11:00Z</dcterms:created>
  <dcterms:modified xsi:type="dcterms:W3CDTF">2024-03-05T12:11:00Z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